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05840E" w14:textId="5039CF5F" w:rsidR="00BA5D96" w:rsidRPr="00BA5D96" w:rsidRDefault="00BA5D96" w:rsidP="00BA5D96">
      <w:pPr>
        <w:pStyle w:val="Heading2"/>
        <w:rPr>
          <w:b/>
          <w:bCs/>
          <w:sz w:val="36"/>
          <w:szCs w:val="36"/>
        </w:rPr>
      </w:pPr>
      <w:r w:rsidRPr="00BA5D96">
        <w:rPr>
          <w:b/>
          <w:bCs/>
          <w:sz w:val="36"/>
          <w:szCs w:val="36"/>
        </w:rPr>
        <w:t>Responsible Investment Policy</w:t>
      </w:r>
    </w:p>
    <w:p w14:paraId="6DBE30E2" w14:textId="346634D4" w:rsidR="00BA5D96" w:rsidRPr="00BA5D96" w:rsidRDefault="00BA5D96" w:rsidP="00EB1148">
      <w:r w:rsidRPr="00BA5D96">
        <w:t xml:space="preserve">Green Portfolio's Responsible Investment Policy mandates that all research analysts be trained and kept current on ESG, climate, human rights, and nature-related factors relevant to their sector coverage, ensuring these considerations are embedded into stock screening from the earliest stage of analysis rather than layered on afterward. Analysts are expected to integrate ESG materiality checks alongside standard financial screening — flagging governance red flags, safety and compliance history, emissions intensity, and social impact metrics as part of the initial company evaluation, not as a separate or optional overlay. </w:t>
      </w:r>
    </w:p>
    <w:p w14:paraId="1F5963CF" w14:textId="669142D7" w:rsidR="00EB1148" w:rsidRPr="00EB1148" w:rsidRDefault="00EB1148" w:rsidP="00BA5D96">
      <w:pPr>
        <w:pStyle w:val="Heading3"/>
      </w:pPr>
      <w:r w:rsidRPr="00EB1148">
        <w:t>Overall Approach to Responsible Investment</w:t>
      </w:r>
    </w:p>
    <w:p w14:paraId="51358999" w14:textId="465C7BDA" w:rsidR="00EB1148" w:rsidRDefault="00EB1148" w:rsidP="00EB1148">
      <w:r w:rsidRPr="00EB1148">
        <w:t xml:space="preserve">Green Portfolio's Responsible Investment Policy is grounded in the belief that ESG factors materially affect long-term investment performance and that responsible investing supports both sustainable value creation and capital protection, consistent with the six Principles for Responsible Investment. As a PRI signatory, our approach is deliberately India-centric </w:t>
      </w:r>
      <w:r>
        <w:t>-</w:t>
      </w:r>
      <w:r w:rsidRPr="00EB1148">
        <w:t xml:space="preserve"> we apply global ESG concepts through the lens of Indian economic and social realities rather than importing standards wholesale, recognizing that </w:t>
      </w:r>
      <w:r>
        <w:t xml:space="preserve">certain </w:t>
      </w:r>
      <w:r w:rsidRPr="00EB1148">
        <w:t xml:space="preserve">sectors carry different ESG trade-offs domestically than in developed markets. This policy applies across all our schemes, including The Impact ESG Fund, and is overseen by our Board with day-to-day compliance monitored by our </w:t>
      </w:r>
      <w:r w:rsidR="004E53F3">
        <w:t xml:space="preserve">Investment Committee. </w:t>
      </w:r>
    </w:p>
    <w:p w14:paraId="74587B12" w14:textId="586C6397" w:rsidR="00EB1148" w:rsidRPr="00EB1148" w:rsidRDefault="00EB1148" w:rsidP="00BA5D96">
      <w:pPr>
        <w:pStyle w:val="Heading3"/>
      </w:pPr>
      <w:r w:rsidRPr="00EB1148">
        <w:t>Environmental, Social and Governance Guidelines</w:t>
      </w:r>
    </w:p>
    <w:p w14:paraId="017658AE" w14:textId="77777777" w:rsidR="00EB1148" w:rsidRPr="00EB1148" w:rsidRDefault="00EB1148" w:rsidP="00EB1148">
      <w:r w:rsidRPr="00EB1148">
        <w:t>ESG considerations form an integral part of our investment research rather than a separate exercise. Every investment memo incorporates material ESG factors, particularly for sectors with significant environmental or social impact. We evaluate companies on governance quality, disclosure standards, and sector-specific sustainability practices. Our governance review covers areas such as board independence, executive compensation, related-party transactions, and tax practices, consistent with PRI's governance principles. On the social front, we also recognize factors such as employment generation and inclusive growth. As a result, certain companies may score well within our framework even if they do not fit conventional international definitions of "green" investments.</w:t>
      </w:r>
    </w:p>
    <w:p w14:paraId="3434B77F" w14:textId="77777777" w:rsidR="00EB1148" w:rsidRPr="00EB1148" w:rsidRDefault="00EB1148" w:rsidP="00BA5D96">
      <w:pPr>
        <w:pStyle w:val="Heading3"/>
      </w:pPr>
      <w:r w:rsidRPr="00EB1148">
        <w:t>Climate Change Guidelines</w:t>
      </w:r>
    </w:p>
    <w:p w14:paraId="65704406" w14:textId="1BEF47A1" w:rsidR="00EB1148" w:rsidRPr="00EB1148" w:rsidRDefault="00EB1148" w:rsidP="00EB1148">
      <w:r w:rsidRPr="00EB1148">
        <w:t xml:space="preserve">We view climate change primarily as a financial risk. This is especially relevant in </w:t>
      </w:r>
      <w:r>
        <w:t xml:space="preserve">specific </w:t>
      </w:r>
      <w:r w:rsidRPr="00EB1148">
        <w:t xml:space="preserve">sectors </w:t>
      </w:r>
      <w:r>
        <w:t>like thermal power</w:t>
      </w:r>
      <w:r w:rsidR="00FF1407">
        <w:t>, cement etc.</w:t>
      </w:r>
      <w:r>
        <w:t xml:space="preserve"> </w:t>
      </w:r>
      <w:r w:rsidRPr="00EB1148">
        <w:t xml:space="preserve">where changing regulations and physical climate impacts can materially affect future earnings. Our analysis considers both transition risks, including carbon pricing, stranded assets, and technology shifts, and physical risks, such as water stress, flooding, and extreme heat. </w:t>
      </w:r>
      <w:r w:rsidR="00CB7D49">
        <w:t>W</w:t>
      </w:r>
      <w:r w:rsidRPr="00EB1148">
        <w:t xml:space="preserve">e </w:t>
      </w:r>
      <w:r w:rsidR="00CB7D49">
        <w:t xml:space="preserve">have to </w:t>
      </w:r>
      <w:r w:rsidRPr="00EB1148">
        <w:t>assess</w:t>
      </w:r>
      <w:r w:rsidR="00CB7D49">
        <w:t>, with whatever information we can find,</w:t>
      </w:r>
      <w:r w:rsidRPr="00EB1148">
        <w:t xml:space="preserve"> how these risks could affect long-term business performance. These assessments have directly influenced portfolio decisions, including exiting a thermal power investment with unresolved water-stress concerns and reducing exposure to a cement company facing significant unfunded decarbonization capex.</w:t>
      </w:r>
    </w:p>
    <w:p w14:paraId="1EEE8B10" w14:textId="77777777" w:rsidR="00EB1148" w:rsidRPr="00EB1148" w:rsidRDefault="00EB1148" w:rsidP="00BA5D96">
      <w:pPr>
        <w:pStyle w:val="Heading3"/>
      </w:pPr>
      <w:r w:rsidRPr="00EB1148">
        <w:t>Human Rights Guidelines</w:t>
      </w:r>
    </w:p>
    <w:p w14:paraId="5D6F6681" w14:textId="77777777" w:rsidR="00EB1148" w:rsidRDefault="00EB1148" w:rsidP="00EB1148">
      <w:r w:rsidRPr="00EB1148">
        <w:t xml:space="preserve">Our approach to human rights is guided by the UN Guiding Principles on Business and Human Rights. We focus on three areas: </w:t>
      </w:r>
    </w:p>
    <w:p w14:paraId="3C6E100B" w14:textId="77777777" w:rsidR="00EB1148" w:rsidRDefault="00EB1148" w:rsidP="00EB1148">
      <w:pPr>
        <w:pStyle w:val="ListParagraph"/>
        <w:numPr>
          <w:ilvl w:val="0"/>
          <w:numId w:val="2"/>
        </w:numPr>
      </w:pPr>
      <w:r>
        <w:lastRenderedPageBreak/>
        <w:t>A</w:t>
      </w:r>
      <w:r w:rsidRPr="00EB1148">
        <w:t xml:space="preserve"> clear policy commitment, </w:t>
      </w:r>
    </w:p>
    <w:p w14:paraId="5FCA4E02" w14:textId="77777777" w:rsidR="00EB1148" w:rsidRDefault="00EB1148" w:rsidP="00EB1148">
      <w:pPr>
        <w:pStyle w:val="ListParagraph"/>
        <w:numPr>
          <w:ilvl w:val="0"/>
          <w:numId w:val="2"/>
        </w:numPr>
      </w:pPr>
      <w:r>
        <w:t>D</w:t>
      </w:r>
      <w:r w:rsidRPr="00EB1148">
        <w:t xml:space="preserve">ue diligence during investment decisions, and </w:t>
      </w:r>
    </w:p>
    <w:p w14:paraId="25AA276F" w14:textId="77777777" w:rsidR="00EB1148" w:rsidRDefault="00EB1148" w:rsidP="00EB1148">
      <w:pPr>
        <w:pStyle w:val="ListParagraph"/>
        <w:numPr>
          <w:ilvl w:val="0"/>
          <w:numId w:val="2"/>
        </w:numPr>
      </w:pPr>
      <w:r w:rsidRPr="00EB1148">
        <w:t xml:space="preserve">encouraging appropriate remedies where companies are linked to adverse human rights outcomes. </w:t>
      </w:r>
    </w:p>
    <w:p w14:paraId="41EBBD13" w14:textId="3A939B72" w:rsidR="005A65E5" w:rsidRPr="00EB1148" w:rsidRDefault="00EB1148" w:rsidP="00EB1148">
      <w:r w:rsidRPr="00EB1148">
        <w:t>In practice, this means carefully evaluating labor practices, workplace safety, and community impact. Our extended review of a chemical company's fire-safety record before investing is one example of how these considerations influence investment decisions.</w:t>
      </w:r>
    </w:p>
    <w:p w14:paraId="4905F71D" w14:textId="77777777" w:rsidR="00EB1148" w:rsidRPr="00EB1148" w:rsidRDefault="00EB1148" w:rsidP="00BA5D96">
      <w:pPr>
        <w:pStyle w:val="Heading3"/>
      </w:pPr>
      <w:r w:rsidRPr="00EB1148">
        <w:t>Nature Guidelines</w:t>
      </w:r>
    </w:p>
    <w:p w14:paraId="04E5F2FF" w14:textId="77777777" w:rsidR="00EB1148" w:rsidRPr="00EB1148" w:rsidRDefault="00EB1148" w:rsidP="00EB1148">
      <w:r w:rsidRPr="00EB1148">
        <w:t>Nature-related risks are assessed wherever they can materially affect long-term business performance. We pay particular attention to resource-intensive sectors such as cement, thermal power, and chemicals, where water availability, land use, and biodiversity can directly influence operations. Using geospatial analysis, we identify assets located in water-stressed or flood-prone regions and incorporate these findings into our investment decisions and company engagements. For us, protecting natural resources is not simply an environmental objective—it is an important part of managing long-term business risk and building resilient investment portfolios.</w:t>
      </w:r>
    </w:p>
    <w:p w14:paraId="6168E70A" w14:textId="459B9AB1" w:rsidR="00365E8F" w:rsidRDefault="00365E8F" w:rsidP="00EB1148"/>
    <w:p w14:paraId="7D8A62C5" w14:textId="40FC240A" w:rsidR="00CB7D49" w:rsidRDefault="00CB7D49" w:rsidP="00EB1148"/>
    <w:p w14:paraId="23FF72DE" w14:textId="630057D0" w:rsidR="00CB7D49" w:rsidRDefault="00CB7D49" w:rsidP="00CB7D49">
      <w:pPr>
        <w:pStyle w:val="Heading3"/>
      </w:pPr>
      <w:r>
        <w:t>Anuj Jain</w:t>
      </w:r>
    </w:p>
    <w:p w14:paraId="1F35AFD7" w14:textId="07D75F63" w:rsidR="00CB7D49" w:rsidRPr="00365E8F" w:rsidRDefault="00CB7D49" w:rsidP="00CB7D49">
      <w:pPr>
        <w:pStyle w:val="Heading3"/>
      </w:pPr>
      <w:r>
        <w:t>CIO</w:t>
      </w:r>
    </w:p>
    <w:sectPr w:rsidR="00CB7D49" w:rsidRPr="00365E8F" w:rsidSect="009C697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0D091B"/>
    <w:multiLevelType w:val="hybridMultilevel"/>
    <w:tmpl w:val="B086852E"/>
    <w:lvl w:ilvl="0" w:tplc="4A90E2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9219C0"/>
    <w:multiLevelType w:val="hybridMultilevel"/>
    <w:tmpl w:val="4106EE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E1B"/>
    <w:rsid w:val="00365E8F"/>
    <w:rsid w:val="004E53F3"/>
    <w:rsid w:val="005067AF"/>
    <w:rsid w:val="00543FF5"/>
    <w:rsid w:val="005A65E5"/>
    <w:rsid w:val="00683545"/>
    <w:rsid w:val="007353BB"/>
    <w:rsid w:val="00846175"/>
    <w:rsid w:val="00910E1B"/>
    <w:rsid w:val="009C697B"/>
    <w:rsid w:val="00A62294"/>
    <w:rsid w:val="00BA5D96"/>
    <w:rsid w:val="00BD022E"/>
    <w:rsid w:val="00CB7D49"/>
    <w:rsid w:val="00DB33C6"/>
    <w:rsid w:val="00E2311D"/>
    <w:rsid w:val="00EB1148"/>
    <w:rsid w:val="00F63915"/>
    <w:rsid w:val="00FF1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6BD76"/>
  <w15:chartTrackingRefBased/>
  <w15:docId w15:val="{2746B1E6-1194-44AE-AFB8-6219C4635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0E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910E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10E1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10E1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10E1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10E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0E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0E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0E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E1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910E1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10E1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10E1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10E1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10E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0E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0E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0E1B"/>
    <w:rPr>
      <w:rFonts w:eastAsiaTheme="majorEastAsia" w:cstheme="majorBidi"/>
      <w:color w:val="272727" w:themeColor="text1" w:themeTint="D8"/>
    </w:rPr>
  </w:style>
  <w:style w:type="paragraph" w:styleId="Title">
    <w:name w:val="Title"/>
    <w:basedOn w:val="Normal"/>
    <w:next w:val="Normal"/>
    <w:link w:val="TitleChar"/>
    <w:uiPriority w:val="10"/>
    <w:qFormat/>
    <w:rsid w:val="00910E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0E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0E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0E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0E1B"/>
    <w:pPr>
      <w:spacing w:before="160"/>
      <w:jc w:val="center"/>
    </w:pPr>
    <w:rPr>
      <w:i/>
      <w:iCs/>
      <w:color w:val="404040" w:themeColor="text1" w:themeTint="BF"/>
    </w:rPr>
  </w:style>
  <w:style w:type="character" w:customStyle="1" w:styleId="QuoteChar">
    <w:name w:val="Quote Char"/>
    <w:basedOn w:val="DefaultParagraphFont"/>
    <w:link w:val="Quote"/>
    <w:uiPriority w:val="29"/>
    <w:rsid w:val="00910E1B"/>
    <w:rPr>
      <w:i/>
      <w:iCs/>
      <w:color w:val="404040" w:themeColor="text1" w:themeTint="BF"/>
    </w:rPr>
  </w:style>
  <w:style w:type="paragraph" w:styleId="ListParagraph">
    <w:name w:val="List Paragraph"/>
    <w:basedOn w:val="Normal"/>
    <w:uiPriority w:val="34"/>
    <w:qFormat/>
    <w:rsid w:val="00910E1B"/>
    <w:pPr>
      <w:ind w:left="720"/>
      <w:contextualSpacing/>
    </w:pPr>
  </w:style>
  <w:style w:type="character" w:styleId="IntenseEmphasis">
    <w:name w:val="Intense Emphasis"/>
    <w:basedOn w:val="DefaultParagraphFont"/>
    <w:uiPriority w:val="21"/>
    <w:qFormat/>
    <w:rsid w:val="00910E1B"/>
    <w:rPr>
      <w:i/>
      <w:iCs/>
      <w:color w:val="2F5496" w:themeColor="accent1" w:themeShade="BF"/>
    </w:rPr>
  </w:style>
  <w:style w:type="paragraph" w:styleId="IntenseQuote">
    <w:name w:val="Intense Quote"/>
    <w:basedOn w:val="Normal"/>
    <w:next w:val="Normal"/>
    <w:link w:val="IntenseQuoteChar"/>
    <w:uiPriority w:val="30"/>
    <w:qFormat/>
    <w:rsid w:val="00910E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10E1B"/>
    <w:rPr>
      <w:i/>
      <w:iCs/>
      <w:color w:val="2F5496" w:themeColor="accent1" w:themeShade="BF"/>
    </w:rPr>
  </w:style>
  <w:style w:type="character" w:styleId="IntenseReference">
    <w:name w:val="Intense Reference"/>
    <w:basedOn w:val="DefaultParagraphFont"/>
    <w:uiPriority w:val="32"/>
    <w:qFormat/>
    <w:rsid w:val="00910E1B"/>
    <w:rPr>
      <w:b/>
      <w:bCs/>
      <w:smallCaps/>
      <w:color w:val="2F5496" w:themeColor="accent1" w:themeShade="BF"/>
      <w:spacing w:val="5"/>
    </w:rPr>
  </w:style>
  <w:style w:type="character" w:styleId="Hyperlink">
    <w:name w:val="Hyperlink"/>
    <w:basedOn w:val="DefaultParagraphFont"/>
    <w:uiPriority w:val="99"/>
    <w:unhideWhenUsed/>
    <w:rsid w:val="00365E8F"/>
    <w:rPr>
      <w:color w:val="0563C1" w:themeColor="hyperlink"/>
      <w:u w:val="single"/>
    </w:rPr>
  </w:style>
  <w:style w:type="character" w:styleId="UnresolvedMention">
    <w:name w:val="Unresolved Mention"/>
    <w:basedOn w:val="DefaultParagraphFont"/>
    <w:uiPriority w:val="99"/>
    <w:semiHidden/>
    <w:unhideWhenUsed/>
    <w:rsid w:val="00365E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651</Words>
  <Characters>3712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jahnvi@greenportfolio.co</dc:creator>
  <cp:keywords/>
  <dc:description/>
  <cp:lastModifiedBy>Anuj Jain</cp:lastModifiedBy>
  <cp:revision>3</cp:revision>
  <dcterms:created xsi:type="dcterms:W3CDTF">2026-07-28T23:26:00Z</dcterms:created>
  <dcterms:modified xsi:type="dcterms:W3CDTF">2026-07-28T23:33:00Z</dcterms:modified>
</cp:coreProperties>
</file>